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旗山校区辅导员宿舍窗帘</w:t>
      </w:r>
      <w:r>
        <w:rPr>
          <w:rFonts w:hint="eastAsia"/>
          <w:sz w:val="30"/>
          <w:szCs w:val="30"/>
          <w:lang w:val="en-US" w:eastAsia="zh-CN"/>
        </w:rPr>
        <w:t>技术参数与报价表</w:t>
      </w:r>
    </w:p>
    <w:p>
      <w:pPr>
        <w:rPr>
          <w:rFonts w:hint="eastAsia"/>
          <w:sz w:val="10"/>
          <w:szCs w:val="10"/>
          <w:lang w:val="en-US" w:eastAsia="zh-CN"/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581"/>
        <w:gridCol w:w="3434"/>
        <w:gridCol w:w="975"/>
        <w:gridCol w:w="1372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品名</w:t>
            </w:r>
          </w:p>
        </w:tc>
        <w:tc>
          <w:tcPr>
            <w:tcW w:w="18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报价单价（元/米）</w:t>
            </w: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概算总价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窗帘布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9" w:type="pc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绿色环保型单面光窗帘布；甲醛含量：执行国家标准E1排放标准。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100涤纶；遮光85%以上；门幅280cm；缩水率：径向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0.5%、纬向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0.1%；色牢度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4级；非涂层布料；永久性抗阻燃；布料双面压花工艺，垂直好，不易被风吹起，可手洗或机洗，洗后不变形、不褪色，结实耐用，有良好的隔音、隔热、吸尘效果。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轨道布比为1：2，窗帘制作为双开。中间交叉重合宽度为200mm。</w:t>
            </w:r>
          </w:p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需提供检测报告。</w:t>
            </w:r>
          </w:p>
        </w:tc>
        <w:tc>
          <w:tcPr>
            <w:tcW w:w="528" w:type="pct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约960米，具体尺寸数量以实际测量为准。</w:t>
            </w: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元/米（含辅料、加工、安装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辅料：布带</w:t>
            </w:r>
          </w:p>
        </w:tc>
        <w:tc>
          <w:tcPr>
            <w:tcW w:w="1859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无纺加厚涤纶面料，抗晒不老化，水涤不变形，高度为8cm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528" w:type="pct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辅料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用料须符合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窗帘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制作标准。</w:t>
            </w:r>
          </w:p>
        </w:tc>
        <w:tc>
          <w:tcPr>
            <w:tcW w:w="743" w:type="pct"/>
            <w:vMerge w:val="restart"/>
            <w:vAlign w:val="center"/>
          </w:tcPr>
          <w:p>
            <w:pPr>
              <w:ind w:left="21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——   （辅料含所列品名材料及其它需要未列出的材料。）</w:t>
            </w: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辅料：布钩</w:t>
            </w:r>
          </w:p>
        </w:tc>
        <w:tc>
          <w:tcPr>
            <w:tcW w:w="1859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纯不锈钢材质单钩</w:t>
            </w:r>
          </w:p>
        </w:tc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辅料：铅绳</w:t>
            </w:r>
          </w:p>
        </w:tc>
        <w:tc>
          <w:tcPr>
            <w:tcW w:w="1859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每米≧100克</w:t>
            </w:r>
          </w:p>
        </w:tc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辅料扎带</w:t>
            </w:r>
          </w:p>
        </w:tc>
        <w:tc>
          <w:tcPr>
            <w:tcW w:w="1859" w:type="pc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与窗帘布同种材质，子母贴固定，四周卷边，高度不小于8cm</w:t>
            </w:r>
          </w:p>
        </w:tc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加工工艺</w:t>
            </w:r>
          </w:p>
        </w:tc>
        <w:tc>
          <w:tcPr>
            <w:tcW w:w="1859" w:type="pct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韩式制作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，制作工艺符合行业标准。</w:t>
            </w:r>
          </w:p>
        </w:tc>
        <w:tc>
          <w:tcPr>
            <w:tcW w:w="528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轨道</w:t>
            </w:r>
          </w:p>
        </w:tc>
        <w:tc>
          <w:tcPr>
            <w:tcW w:w="1859" w:type="pc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静音铝合金材质；壁厚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1.2mm；轨道承重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30kg；表面经电泳处理，颜色为象牙白，电泳层厚度0.08-0.12mm。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吊轮滑动自如无噪音，材质为POM滑轮+不锈钢钢扣，承重每个不小于8kg，封口承重不小于8kg，带螺丝固定；每米轨道吊轮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8个。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③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不锈钢钣金安装码。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④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需提供检测报告。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约595米，具体尺寸以实际测量为准。</w:t>
            </w:r>
          </w:p>
        </w:tc>
        <w:tc>
          <w:tcPr>
            <w:tcW w:w="743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元/米（含辅料、安装）</w:t>
            </w: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保修期1年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D7763"/>
    <w:rsid w:val="276A2F5F"/>
    <w:rsid w:val="38464D4B"/>
    <w:rsid w:val="394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2020-07-16T09:17:00Z</dcterms:created>
  <dc:creator>呆呆槑</dc:creator>
  <cp:lastModifiedBy>呆呆槑</cp:lastModifiedBy>
  <dcterms:modified xsi:type="dcterms:W3CDTF">2020-07-17T02:02:36Z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