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E787">
      <w:pPr>
        <w:pStyle w:val="4"/>
        <w:snapToGrid/>
        <w:spacing w:before="0" w:beforeAutospacing="0" w:after="0" w:afterAutospacing="0" w:line="381" w:lineRule="exact"/>
        <w:ind w:left="4800" w:leftChars="0" w:right="0" w:hangingChars="1500"/>
        <w:jc w:val="left"/>
        <w:rPr>
          <w:rFonts w:hint="eastAsia"/>
          <w:b w:val="0"/>
          <w:i w:val="0"/>
          <w:spacing w:val="0"/>
          <w:w w:val="100"/>
          <w:sz w:val="32"/>
          <w:lang w:val="en-US" w:eastAsia="zh-CN"/>
        </w:rPr>
      </w:pPr>
      <w:r>
        <w:rPr>
          <w:rFonts w:hint="eastAsia"/>
          <w:b w:val="0"/>
          <w:i w:val="0"/>
          <w:spacing w:val="0"/>
          <w:w w:val="100"/>
          <w:sz w:val="32"/>
          <w:lang w:val="en-US" w:eastAsia="zh-CN"/>
        </w:rPr>
        <w:t xml:space="preserve">附件：                </w:t>
      </w:r>
    </w:p>
    <w:p w14:paraId="73BB04DA">
      <w:pPr>
        <w:keepLines w:val="0"/>
        <w:snapToGrid/>
        <w:spacing w:before="0" w:beforeAutospacing="0" w:after="0" w:afterAutospacing="0" w:line="480" w:lineRule="exact"/>
        <w:ind w:left="0" w:right="0" w:firstLine="562" w:firstLineChars="200"/>
        <w:jc w:val="center"/>
        <w:rPr>
          <w:rFonts w:hint="eastAsia" w:ascii="Calibri" w:hAnsi="Calibri" w:eastAsia="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Calibri" w:hAnsi="Calibri" w:eastAsia="宋体"/>
          <w:b/>
          <w:bCs/>
          <w:kern w:val="2"/>
          <w:sz w:val="28"/>
          <w:szCs w:val="28"/>
          <w:lang w:val="en-US" w:eastAsia="zh-CN"/>
        </w:rPr>
        <w:t>202</w:t>
      </w:r>
      <w:r>
        <w:rPr>
          <w:rFonts w:hint="eastAsia" w:ascii="Calibri" w:hAnsi="Calibri"/>
          <w:b/>
          <w:bCs/>
          <w:kern w:val="2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/>
          <w:b/>
          <w:bCs/>
          <w:kern w:val="2"/>
          <w:sz w:val="28"/>
          <w:szCs w:val="28"/>
          <w:lang w:val="en-US" w:eastAsia="zh-CN"/>
        </w:rPr>
        <w:t>-202</w:t>
      </w:r>
      <w:r>
        <w:rPr>
          <w:rFonts w:hint="eastAsia" w:ascii="Calibri" w:hAnsi="Calibri"/>
          <w:b/>
          <w:bCs/>
          <w:kern w:val="2"/>
          <w:sz w:val="28"/>
          <w:szCs w:val="28"/>
          <w:lang w:val="en-US" w:eastAsia="zh-CN"/>
        </w:rPr>
        <w:t>6</w:t>
      </w:r>
      <w:r>
        <w:rPr>
          <w:rFonts w:hint="eastAsia" w:ascii="Calibri" w:hAnsi="Calibri" w:eastAsia="宋体"/>
          <w:b/>
          <w:bCs/>
          <w:kern w:val="2"/>
          <w:sz w:val="28"/>
          <w:szCs w:val="28"/>
          <w:lang w:val="en-US" w:eastAsia="zh-CN"/>
        </w:rPr>
        <w:t>学年第</w:t>
      </w:r>
      <w:r>
        <w:rPr>
          <w:rFonts w:hint="eastAsia" w:ascii="Calibri" w:hAnsi="Calibri"/>
          <w:b/>
          <w:bCs/>
          <w:kern w:val="2"/>
          <w:sz w:val="28"/>
          <w:szCs w:val="28"/>
          <w:lang w:val="en-US" w:eastAsia="zh-CN"/>
        </w:rPr>
        <w:t>一</w:t>
      </w:r>
      <w:r>
        <w:rPr>
          <w:rFonts w:hint="eastAsia" w:ascii="Calibri" w:hAnsi="Calibri" w:eastAsia="宋体"/>
          <w:b/>
          <w:bCs/>
          <w:kern w:val="2"/>
          <w:sz w:val="28"/>
          <w:szCs w:val="28"/>
          <w:lang w:val="en-US" w:eastAsia="zh-CN"/>
        </w:rPr>
        <w:t>学期</w:t>
      </w:r>
      <w:r>
        <w:rPr>
          <w:rFonts w:hint="eastAsia" w:ascii="Calibri" w:hAnsi="Calibri" w:eastAsia="宋体"/>
          <w:b/>
          <w:bCs/>
          <w:kern w:val="2"/>
          <w:sz w:val="28"/>
          <w:szCs w:val="28"/>
          <w:lang w:eastAsia="zh-CN"/>
        </w:rPr>
        <w:t>仓旗校区自营餐厅（含宿舍公共区域）灭鼠、灭蟑螂每周一次消杀服务采购项目参数要求</w:t>
      </w:r>
    </w:p>
    <w:p w14:paraId="639AC2A2">
      <w:pPr>
        <w:widowControl w:val="0"/>
        <w:ind w:firstLine="562" w:firstLineChars="200"/>
        <w:jc w:val="center"/>
        <w:rPr>
          <w:rFonts w:hint="eastAsia" w:ascii="Calibri" w:hAnsi="Calibri" w:eastAsia="宋体"/>
          <w:b/>
          <w:bCs/>
          <w:kern w:val="2"/>
          <w:sz w:val="28"/>
          <w:szCs w:val="28"/>
          <w:lang w:eastAsia="zh-CN"/>
        </w:rPr>
      </w:pPr>
    </w:p>
    <w:p w14:paraId="3C93B835">
      <w:pPr>
        <w:pStyle w:val="1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20" w:lineRule="exact"/>
        <w:ind w:left="0" w:right="0"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sz w:val="28"/>
          <w:szCs w:val="28"/>
          <w:lang w:val="en-US" w:eastAsia="zh-CN"/>
        </w:rPr>
        <w:t>饮食服务中心</w:t>
      </w:r>
      <w:r>
        <w:rPr>
          <w:rFonts w:hint="eastAsia"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拟对仓旗校区自营餐厅</w:t>
      </w: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（含宿舍公共区域）</w:t>
      </w:r>
      <w:r>
        <w:rPr>
          <w:rFonts w:hint="eastAsia"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环境进行灭鼠、灭蟑螂消杀服务，服务期限：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2025年9月1日-2026年1月25日（共计21周）</w:t>
      </w:r>
      <w:r>
        <w:rPr>
          <w:rFonts w:hint="eastAsia"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，每周消杀1次，结算方式服务期满验收合格后结算。参数要求</w:t>
      </w: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sz w:val="28"/>
          <w:szCs w:val="28"/>
          <w:lang w:val="en-US" w:eastAsia="zh-CN"/>
        </w:rPr>
        <w:t>如下：</w:t>
      </w:r>
    </w:p>
    <w:p w14:paraId="33C9996F">
      <w:pPr>
        <w:widowControl w:val="0"/>
        <w:ind w:firstLine="840" w:firstLineChars="300"/>
        <w:jc w:val="both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一、消杀餐厅数量</w:t>
      </w:r>
    </w:p>
    <w:tbl>
      <w:tblPr>
        <w:tblStyle w:val="2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468"/>
        <w:gridCol w:w="3288"/>
        <w:gridCol w:w="1744"/>
      </w:tblGrid>
      <w:tr w14:paraId="602E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8" w:type="dxa"/>
            <w:vAlign w:val="center"/>
          </w:tcPr>
          <w:p w14:paraId="0033F8BC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68" w:type="dxa"/>
            <w:vAlign w:val="center"/>
          </w:tcPr>
          <w:p w14:paraId="654F9857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楼层</w:t>
            </w:r>
          </w:p>
        </w:tc>
        <w:tc>
          <w:tcPr>
            <w:tcW w:w="3288" w:type="dxa"/>
            <w:vAlign w:val="center"/>
          </w:tcPr>
          <w:p w14:paraId="2C61024D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餐厅</w:t>
            </w:r>
          </w:p>
        </w:tc>
        <w:tc>
          <w:tcPr>
            <w:tcW w:w="1744" w:type="dxa"/>
            <w:vAlign w:val="center"/>
          </w:tcPr>
          <w:p w14:paraId="02AF9728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餐厅面积</w:t>
            </w:r>
          </w:p>
          <w:p w14:paraId="6A7AB799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（平方米）</w:t>
            </w:r>
          </w:p>
        </w:tc>
      </w:tr>
      <w:tr w14:paraId="675B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8" w:type="dxa"/>
            <w:vAlign w:val="center"/>
          </w:tcPr>
          <w:p w14:paraId="29BE005A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68" w:type="dxa"/>
            <w:vAlign w:val="center"/>
          </w:tcPr>
          <w:p w14:paraId="032288C4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旗山校区桃苑一楼</w:t>
            </w:r>
          </w:p>
        </w:tc>
        <w:tc>
          <w:tcPr>
            <w:tcW w:w="3288" w:type="dxa"/>
            <w:vAlign w:val="center"/>
          </w:tcPr>
          <w:p w14:paraId="4183E249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嘉树园餐厅大伙区域</w:t>
            </w:r>
          </w:p>
        </w:tc>
        <w:tc>
          <w:tcPr>
            <w:tcW w:w="1744" w:type="dxa"/>
            <w:vAlign w:val="center"/>
          </w:tcPr>
          <w:p w14:paraId="64E1CBB6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约700</w:t>
            </w:r>
          </w:p>
        </w:tc>
      </w:tr>
      <w:tr w14:paraId="3912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vAlign w:val="center"/>
          </w:tcPr>
          <w:p w14:paraId="0CFCBBB3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468" w:type="dxa"/>
            <w:vAlign w:val="center"/>
          </w:tcPr>
          <w:p w14:paraId="292B4774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旗山校区兰苑一楼</w:t>
            </w:r>
          </w:p>
        </w:tc>
        <w:tc>
          <w:tcPr>
            <w:tcW w:w="3288" w:type="dxa"/>
            <w:vAlign w:val="center"/>
          </w:tcPr>
          <w:p w14:paraId="01AE396B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随园餐厅</w:t>
            </w:r>
          </w:p>
        </w:tc>
        <w:tc>
          <w:tcPr>
            <w:tcW w:w="1744" w:type="dxa"/>
            <w:vAlign w:val="center"/>
          </w:tcPr>
          <w:p w14:paraId="091A2093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约2600</w:t>
            </w:r>
          </w:p>
        </w:tc>
      </w:tr>
      <w:tr w14:paraId="2461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8" w:type="dxa"/>
            <w:vAlign w:val="center"/>
          </w:tcPr>
          <w:p w14:paraId="09299B61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468" w:type="dxa"/>
            <w:vAlign w:val="center"/>
          </w:tcPr>
          <w:p w14:paraId="4EF4767E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旗山校区行政楼一楼附属楼</w:t>
            </w:r>
          </w:p>
        </w:tc>
        <w:tc>
          <w:tcPr>
            <w:tcW w:w="3288" w:type="dxa"/>
            <w:vAlign w:val="center"/>
          </w:tcPr>
          <w:p w14:paraId="10A51474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旗山教工餐厅</w:t>
            </w:r>
          </w:p>
        </w:tc>
        <w:tc>
          <w:tcPr>
            <w:tcW w:w="1744" w:type="dxa"/>
            <w:vAlign w:val="center"/>
          </w:tcPr>
          <w:p w14:paraId="333331A0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约500</w:t>
            </w:r>
          </w:p>
        </w:tc>
      </w:tr>
      <w:tr w14:paraId="728F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8" w:type="dxa"/>
            <w:vAlign w:val="center"/>
          </w:tcPr>
          <w:p w14:paraId="1772E8E5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468" w:type="dxa"/>
            <w:vAlign w:val="center"/>
          </w:tcPr>
          <w:p w14:paraId="1289FA56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仓山校区高区1号楼一楼</w:t>
            </w:r>
          </w:p>
        </w:tc>
        <w:tc>
          <w:tcPr>
            <w:tcW w:w="3288" w:type="dxa"/>
            <w:vAlign w:val="center"/>
          </w:tcPr>
          <w:p w14:paraId="589B5EB4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聚星园餐厅</w:t>
            </w:r>
          </w:p>
        </w:tc>
        <w:tc>
          <w:tcPr>
            <w:tcW w:w="1744" w:type="dxa"/>
            <w:vAlign w:val="center"/>
          </w:tcPr>
          <w:p w14:paraId="4DB57F02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约2152</w:t>
            </w:r>
          </w:p>
        </w:tc>
      </w:tr>
      <w:tr w14:paraId="6F8B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8" w:type="dxa"/>
            <w:vAlign w:val="center"/>
          </w:tcPr>
          <w:p w14:paraId="4E0DD511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500" w:type="dxa"/>
            <w:gridSpan w:val="3"/>
            <w:vAlign w:val="center"/>
          </w:tcPr>
          <w:p w14:paraId="72BCD52F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餐厅宿舍公共区域须涵盖一并消杀。</w:t>
            </w:r>
          </w:p>
        </w:tc>
      </w:tr>
    </w:tbl>
    <w:p w14:paraId="71B42BDA">
      <w:pPr>
        <w:tabs>
          <w:tab w:val="center" w:pos="4850"/>
        </w:tabs>
        <w:spacing w:line="490" w:lineRule="exact"/>
        <w:ind w:firstLine="840" w:firstLineChars="300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二、防治目标要求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6238"/>
      </w:tblGrid>
      <w:tr w14:paraId="2817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01" w:type="dxa"/>
            <w:vAlign w:val="top"/>
          </w:tcPr>
          <w:p w14:paraId="4150EE6D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防治标靶害虫</w:t>
            </w:r>
          </w:p>
        </w:tc>
        <w:tc>
          <w:tcPr>
            <w:tcW w:w="6238" w:type="dxa"/>
            <w:vAlign w:val="top"/>
          </w:tcPr>
          <w:p w14:paraId="53CC2DE2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防治目标</w:t>
            </w:r>
          </w:p>
        </w:tc>
      </w:tr>
      <w:tr w14:paraId="0650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201" w:type="dxa"/>
            <w:vAlign w:val="top"/>
          </w:tcPr>
          <w:p w14:paraId="106A7ADC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鼠类</w:t>
            </w:r>
          </w:p>
        </w:tc>
        <w:tc>
          <w:tcPr>
            <w:tcW w:w="6238" w:type="dxa"/>
            <w:vAlign w:val="top"/>
          </w:tcPr>
          <w:p w14:paraId="7B4FD2F2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国标《GB/T 27770-2011 病媒朱物密度防治水平鼠类》规定的单位鼠密度防治标准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A级</w:t>
            </w:r>
          </w:p>
        </w:tc>
      </w:tr>
      <w:tr w14:paraId="5997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01" w:type="dxa"/>
            <w:vAlign w:val="top"/>
          </w:tcPr>
          <w:p w14:paraId="08FF60CA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蜚蠊</w:t>
            </w:r>
          </w:p>
        </w:tc>
        <w:tc>
          <w:tcPr>
            <w:tcW w:w="6238" w:type="dxa"/>
            <w:vAlign w:val="top"/>
          </w:tcPr>
          <w:p w14:paraId="09955F8F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国标《GB/T 27773-2011 病媒生物密度控制水平蜚蠊》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规</w:t>
            </w: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定的单位蟑螂密度防治标准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級</w:t>
            </w:r>
          </w:p>
        </w:tc>
      </w:tr>
    </w:tbl>
    <w:p w14:paraId="4CC89C80">
      <w:pPr>
        <w:pStyle w:val="1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20" w:lineRule="exact"/>
        <w:ind w:left="0" w:right="0"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三、服务执行标准</w:t>
      </w:r>
    </w:p>
    <w:p w14:paraId="2B1AFF00">
      <w:pPr>
        <w:widowControl w:val="0"/>
        <w:ind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1. 消杀频次：每周开展一次全面消杀，严格按计划执行。若发现虫害迹象，24小时内立即响应处理。</w:t>
      </w:r>
    </w:p>
    <w:p w14:paraId="401D16D5">
      <w:pPr>
        <w:widowControl w:val="0"/>
        <w:ind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2. 巡查要点：根据有害生物活动迹象适时增加巡查频次，仔细统计害虫数量、留意其活动规律，为后续消杀提供数据支撑。</w:t>
      </w:r>
    </w:p>
    <w:p w14:paraId="27017793">
      <w:pPr>
        <w:widowControl w:val="0"/>
        <w:ind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3. 提前规划：每月提前1个月与餐厅沟通，明确次月消杀药品、方式、流程及时间，共同制定作业计划，减少对餐厅运营的影响。</w:t>
      </w:r>
    </w:p>
    <w:p w14:paraId="1393BE79">
      <w:pPr>
        <w:widowControl w:val="0"/>
        <w:ind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4.</w:t>
      </w:r>
      <w:r>
        <w:rPr>
          <w:rFonts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在服务中使用的化学药剂</w:t>
      </w: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需</w:t>
      </w:r>
      <w:r>
        <w:rPr>
          <w:rFonts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三证齐全</w:t>
      </w: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，</w:t>
      </w:r>
      <w:r>
        <w:rPr>
          <w:rFonts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包括药剂的MSDS</w:t>
      </w: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，药剂的储存、运输和使用，均由专人严格按安全规程操作，确保使用安全。</w:t>
      </w:r>
    </w:p>
    <w:p w14:paraId="26CA2F9C">
      <w:pPr>
        <w:keepLines w:val="0"/>
        <w:snapToGrid/>
        <w:spacing w:before="0" w:beforeAutospacing="0" w:after="0" w:afterAutospacing="0" w:line="420" w:lineRule="exact"/>
        <w:ind w:left="480" w:leftChars="200" w:right="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四、效果评估反馈</w:t>
      </w:r>
    </w:p>
    <w:p w14:paraId="5728C5EF">
      <w:pPr>
        <w:keepLines w:val="0"/>
        <w:snapToGrid/>
        <w:spacing w:before="0" w:beforeAutospacing="0" w:after="0" w:afterAutospacing="0" w:line="420" w:lineRule="exact"/>
        <w:ind w:left="480" w:leftChars="200" w:right="0"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每次消杀都详细记录时间、地点、用药及害虫处理情况。定期提供虫害设施布局图、点位点检表和趋势分析报告。针对应急情况，及时汇报处理过程与结果。发现未知害虫，迅速鉴定并反馈给餐厅，全方位保障餐厅虫害防控效果。</w:t>
      </w:r>
    </w:p>
    <w:p w14:paraId="19C99F0B">
      <w:pPr>
        <w:keepLines w:val="0"/>
        <w:snapToGrid/>
        <w:spacing w:before="0" w:beforeAutospacing="0" w:after="0" w:afterAutospacing="0" w:line="420" w:lineRule="exact"/>
        <w:ind w:left="480" w:leftChars="200" w:right="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</w:p>
    <w:p w14:paraId="1CC4430E">
      <w:pPr>
        <w:keepLines w:val="0"/>
        <w:snapToGrid/>
        <w:spacing w:before="0" w:beforeAutospacing="0" w:after="0" w:afterAutospacing="0" w:line="420" w:lineRule="exact"/>
        <w:ind w:left="480" w:leftChars="200" w:right="0"/>
        <w:jc w:val="left"/>
        <w:rPr>
          <w:rFonts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</w:p>
    <w:p w14:paraId="73C78940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27C8212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34D4EAB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C4A57FA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02C47328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47D0554D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713F0E7F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EADC014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1C608E4A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4A2FDB7F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308FAA6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1198FC67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FCF0C7E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C72A6CC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71A3F5D4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2F3160C5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C3C35A0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33D70D3A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B4721F6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74DA9416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3E11B8DC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714C7F17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1449771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4047B1AE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106A6E6A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2AA0FEDB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8EF05A8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3CBFA70C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7D196439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57B5404">
      <w:pPr>
        <w:jc w:val="center"/>
        <w:rPr>
          <w:rFonts w:hint="eastAsia" w:ascii="Times New Roman" w:hAnsi="Times New Roman" w:eastAsia="宋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/>
          <w:b/>
          <w:bCs/>
          <w:sz w:val="44"/>
          <w:szCs w:val="44"/>
          <w:lang w:eastAsia="zh-CN"/>
        </w:rPr>
        <w:t>询价一览表</w:t>
      </w:r>
      <w:r>
        <w:rPr>
          <w:rFonts w:ascii="仿宋_GB2312" w:hAnsi="宋体" w:eastAsia="仿宋_GB2312"/>
          <w:b/>
          <w:bCs/>
          <w:color w:val="000000"/>
          <w:sz w:val="27"/>
          <w:szCs w:val="27"/>
        </w:rPr>
        <w:t>（含税价</w:t>
      </w:r>
      <w:r>
        <w:rPr>
          <w:rFonts w:hint="eastAsia" w:ascii="仿宋_GB2312" w:hAnsi="宋体" w:eastAsia="仿宋_GB2312"/>
          <w:b/>
          <w:bCs/>
          <w:color w:val="000000"/>
          <w:sz w:val="27"/>
          <w:szCs w:val="27"/>
          <w:lang w:eastAsia="zh-CN"/>
        </w:rPr>
        <w:t>）</w:t>
      </w:r>
    </w:p>
    <w:p w14:paraId="25526DB7">
      <w:pPr>
        <w:jc w:val="center"/>
        <w:rPr>
          <w:rFonts w:hint="eastAsia" w:ascii="Times New Roman" w:hAnsi="Times New Roman" w:eastAsia="宋体"/>
          <w:sz w:val="44"/>
          <w:szCs w:val="44"/>
          <w:lang w:eastAsia="zh-CN"/>
        </w:rPr>
      </w:pPr>
    </w:p>
    <w:tbl>
      <w:tblPr>
        <w:tblStyle w:val="2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566"/>
        <w:gridCol w:w="1581"/>
        <w:gridCol w:w="1327"/>
        <w:gridCol w:w="1388"/>
      </w:tblGrid>
      <w:tr w14:paraId="1459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38" w:type="dxa"/>
            <w:vAlign w:val="center"/>
          </w:tcPr>
          <w:p w14:paraId="23B3826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楼层</w:t>
            </w:r>
          </w:p>
        </w:tc>
        <w:tc>
          <w:tcPr>
            <w:tcW w:w="2566" w:type="dxa"/>
            <w:vAlign w:val="center"/>
          </w:tcPr>
          <w:p w14:paraId="36F6337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餐厅</w:t>
            </w:r>
          </w:p>
        </w:tc>
        <w:tc>
          <w:tcPr>
            <w:tcW w:w="1581" w:type="dxa"/>
            <w:vAlign w:val="center"/>
          </w:tcPr>
          <w:p w14:paraId="1ADFF3A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餐厅面积</w:t>
            </w:r>
          </w:p>
          <w:p w14:paraId="55F557E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327" w:type="dxa"/>
            <w:vAlign w:val="center"/>
          </w:tcPr>
          <w:p w14:paraId="309DAEA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单价</w:t>
            </w:r>
          </w:p>
          <w:p w14:paraId="7D02A52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388" w:type="dxa"/>
            <w:vAlign w:val="center"/>
          </w:tcPr>
          <w:p w14:paraId="75E5D0D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金额</w:t>
            </w:r>
          </w:p>
          <w:p w14:paraId="29024EB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（元）</w:t>
            </w:r>
          </w:p>
        </w:tc>
      </w:tr>
      <w:tr w14:paraId="43D3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38" w:type="dxa"/>
            <w:vAlign w:val="center"/>
          </w:tcPr>
          <w:p w14:paraId="660679B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旗山校区桃苑一楼</w:t>
            </w:r>
          </w:p>
        </w:tc>
        <w:tc>
          <w:tcPr>
            <w:tcW w:w="2566" w:type="dxa"/>
            <w:vAlign w:val="center"/>
          </w:tcPr>
          <w:p w14:paraId="74B0029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嘉树园餐厅大伙区域</w:t>
            </w:r>
          </w:p>
        </w:tc>
        <w:tc>
          <w:tcPr>
            <w:tcW w:w="1581" w:type="dxa"/>
            <w:vAlign w:val="center"/>
          </w:tcPr>
          <w:p w14:paraId="7B5B604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约700</w:t>
            </w:r>
          </w:p>
        </w:tc>
        <w:tc>
          <w:tcPr>
            <w:tcW w:w="1327" w:type="dxa"/>
            <w:vAlign w:val="center"/>
          </w:tcPr>
          <w:p w14:paraId="4C7E3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6559E20">
            <w:pPr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</w:p>
        </w:tc>
      </w:tr>
      <w:tr w14:paraId="0260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38" w:type="dxa"/>
            <w:vAlign w:val="center"/>
          </w:tcPr>
          <w:p w14:paraId="692E865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旗山校区兰苑一楼</w:t>
            </w:r>
          </w:p>
        </w:tc>
        <w:tc>
          <w:tcPr>
            <w:tcW w:w="2566" w:type="dxa"/>
            <w:vAlign w:val="center"/>
          </w:tcPr>
          <w:p w14:paraId="555610F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随园餐厅</w:t>
            </w:r>
          </w:p>
        </w:tc>
        <w:tc>
          <w:tcPr>
            <w:tcW w:w="1581" w:type="dxa"/>
            <w:vAlign w:val="center"/>
          </w:tcPr>
          <w:p w14:paraId="00D14B4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约2600</w:t>
            </w:r>
          </w:p>
        </w:tc>
        <w:tc>
          <w:tcPr>
            <w:tcW w:w="1327" w:type="dxa"/>
            <w:vAlign w:val="center"/>
          </w:tcPr>
          <w:p w14:paraId="1DBBD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7203387">
            <w:pPr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</w:p>
        </w:tc>
      </w:tr>
      <w:tr w14:paraId="73BF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38" w:type="dxa"/>
            <w:vAlign w:val="center"/>
          </w:tcPr>
          <w:p w14:paraId="602E344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旗山校区行政楼一楼附属楼</w:t>
            </w:r>
          </w:p>
        </w:tc>
        <w:tc>
          <w:tcPr>
            <w:tcW w:w="2566" w:type="dxa"/>
            <w:vAlign w:val="center"/>
          </w:tcPr>
          <w:p w14:paraId="51E73D6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旗山教工餐厅</w:t>
            </w:r>
          </w:p>
        </w:tc>
        <w:tc>
          <w:tcPr>
            <w:tcW w:w="1581" w:type="dxa"/>
            <w:vAlign w:val="center"/>
          </w:tcPr>
          <w:p w14:paraId="79E5F15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327" w:type="dxa"/>
            <w:vAlign w:val="center"/>
          </w:tcPr>
          <w:p w14:paraId="16872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056FA10">
            <w:pPr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</w:p>
        </w:tc>
      </w:tr>
      <w:tr w14:paraId="5D9F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38" w:type="dxa"/>
            <w:vAlign w:val="center"/>
          </w:tcPr>
          <w:p w14:paraId="2E554CD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仓山校区高区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1号楼一楼</w:t>
            </w:r>
          </w:p>
        </w:tc>
        <w:tc>
          <w:tcPr>
            <w:tcW w:w="2566" w:type="dxa"/>
            <w:vAlign w:val="center"/>
          </w:tcPr>
          <w:p w14:paraId="42B3708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聚星园餐厅</w:t>
            </w:r>
          </w:p>
        </w:tc>
        <w:tc>
          <w:tcPr>
            <w:tcW w:w="1581" w:type="dxa"/>
            <w:vAlign w:val="center"/>
          </w:tcPr>
          <w:p w14:paraId="674BDAF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/>
                <w:sz w:val="24"/>
                <w:szCs w:val="24"/>
                <w:lang w:eastAsia="zh-CN"/>
              </w:rPr>
              <w:t>2152</w:t>
            </w:r>
          </w:p>
        </w:tc>
        <w:tc>
          <w:tcPr>
            <w:tcW w:w="1327" w:type="dxa"/>
            <w:vAlign w:val="center"/>
          </w:tcPr>
          <w:p w14:paraId="686AE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1D86929">
            <w:pPr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</w:p>
        </w:tc>
      </w:tr>
      <w:tr w14:paraId="210D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38" w:type="dxa"/>
            <w:vAlign w:val="center"/>
          </w:tcPr>
          <w:p w14:paraId="4FFC9BAE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合计</w:t>
            </w:r>
            <w:r>
              <w:rPr>
                <w:rFonts w:hint="eastAsia"/>
                <w:sz w:val="24"/>
                <w:szCs w:val="24"/>
                <w:lang w:eastAsia="zh-CN"/>
              </w:rPr>
              <w:t>（元）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566" w:type="dxa"/>
            <w:vAlign w:val="center"/>
          </w:tcPr>
          <w:p w14:paraId="3EFE339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vAlign w:val="center"/>
          </w:tcPr>
          <w:p w14:paraId="2C04EC3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 w14:paraId="2F8A4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8B47033">
            <w:pPr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</w:p>
        </w:tc>
      </w:tr>
    </w:tbl>
    <w:p w14:paraId="7B91FC73">
      <w:pPr>
        <w:rPr>
          <w:rFonts w:hint="eastAsia"/>
          <w:sz w:val="24"/>
          <w:szCs w:val="24"/>
          <w:lang w:eastAsia="zh-CN"/>
        </w:rPr>
      </w:pPr>
    </w:p>
    <w:p w14:paraId="166A3557">
      <w:pPr>
        <w:ind w:firstLine="56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备注：餐厅宿舍公共区域须涵盖一并消杀。</w:t>
      </w:r>
      <w:bookmarkStart w:id="0" w:name="_GoBack"/>
      <w:bookmarkEnd w:id="0"/>
    </w:p>
    <w:p w14:paraId="41D59B7E">
      <w:pPr>
        <w:rPr>
          <w:rFonts w:hint="eastAsia"/>
          <w:sz w:val="24"/>
          <w:szCs w:val="24"/>
          <w:lang w:eastAsia="zh-CN"/>
        </w:rPr>
      </w:pPr>
    </w:p>
    <w:p w14:paraId="15FB15E7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 w14:paraId="4CCF176C"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供应单位（盖章）：</w:t>
      </w:r>
    </w:p>
    <w:p w14:paraId="025AA25C">
      <w:pPr>
        <w:jc w:val="center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                                                                                联系人：</w:t>
      </w:r>
    </w:p>
    <w:p w14:paraId="1C07D45B">
      <w:pPr>
        <w:jc w:val="center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                                                                            联系电话：</w:t>
      </w:r>
    </w:p>
    <w:p w14:paraId="695C53EE">
      <w:pPr>
        <w:jc w:val="center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                                                                                    日期：</w:t>
      </w:r>
    </w:p>
    <w:sectPr>
      <w:pgSz w:w="12240" w:h="15840"/>
      <w:pgMar w:top="1440" w:right="1134" w:bottom="144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useFELayout/>
    <w:compatSetting w:name="compatibilityMode" w:uri="http://schemas.microsoft.com/office/word" w:val="11"/>
  </w:compat>
  <w:rsids>
    <w:rsidRoot w:val="00000000"/>
    <w:rsid w:val="03C67B9F"/>
    <w:rsid w:val="04715A8A"/>
    <w:rsid w:val="0DDA3D2E"/>
    <w:rsid w:val="147D3C46"/>
    <w:rsid w:val="1FB15534"/>
    <w:rsid w:val="22B220DB"/>
    <w:rsid w:val="40CA2D6C"/>
    <w:rsid w:val="47FA5235"/>
    <w:rsid w:val="63314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ind w:left="800"/>
      <w:outlineLvl w:val="0"/>
    </w:pPr>
    <w:rPr>
      <w:rFonts w:ascii="黑体" w:hAnsi="黑体" w:eastAsia="黑体"/>
      <w:sz w:val="32"/>
      <w:szCs w:val="32"/>
      <w:lang w:val="zh-CN" w:eastAsia="zh-CN" w:bidi="zh-CN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批注框文本1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Char"/>
    <w:basedOn w:val="5"/>
    <w:link w:val="7"/>
    <w:semiHidden/>
    <w:qFormat/>
    <w:uiPriority w:val="0"/>
    <w:rPr>
      <w:sz w:val="18"/>
      <w:szCs w:val="18"/>
      <w:lang w:eastAsia="en-US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页脚 Char"/>
    <w:basedOn w:val="5"/>
    <w:link w:val="9"/>
    <w:semiHidden/>
    <w:qFormat/>
    <w:uiPriority w:val="0"/>
    <w:rPr>
      <w:sz w:val="18"/>
      <w:szCs w:val="18"/>
      <w:lang w:eastAsia="en-US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5"/>
    <w:link w:val="11"/>
    <w:semiHidden/>
    <w:qFormat/>
    <w:uiPriority w:val="0"/>
    <w:rPr>
      <w:sz w:val="18"/>
      <w:szCs w:val="18"/>
      <w:lang w:eastAsia="en-US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4">
    <w:name w:val="网格型1"/>
    <w:basedOn w:val="6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819</Words>
  <Characters>888</Characters>
  <Lines>0</Lines>
  <Paragraphs>0</Paragraphs>
  <TotalTime>1</TotalTime>
  <ScaleCrop>false</ScaleCrop>
  <LinksUpToDate>false</LinksUpToDate>
  <CharactersWithSpaces>1310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2025-01-20T02:13:00Z</dcterms:created>
  <dc:creator>佳</dc:creator>
  <cp:lastModifiedBy>期待……</cp:lastModifiedBy>
  <dcterms:modified xsi:type="dcterms:W3CDTF">2025-07-30T07:13:11Z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eyJoZGlkIjoiNDE1M2JlMGYyNDcxNzMwZjRmMTQ2NGJiYWYyNzg5ZjIiLCJ1c2VySWQiOiI1MDM0NDM0MjMifQ==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89403D289D3C46F89251D5593EEC39C6_12</vt:lpwstr>
  </property>
</Properties>
</file>